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2636" w:rsidRPr="00700FB5" w:rsidRDefault="00646986" w:rsidP="00700FB5">
      <w:pPr>
        <w:spacing w:after="0" w:line="360" w:lineRule="auto"/>
        <w:contextualSpacing/>
        <w:rPr>
          <w:sz w:val="24"/>
          <w:szCs w:val="24"/>
        </w:rPr>
      </w:pPr>
      <w:r w:rsidRPr="00700FB5">
        <w:rPr>
          <w:rFonts w:hint="cs"/>
          <w:sz w:val="24"/>
          <w:szCs w:val="24"/>
          <w:rtl/>
        </w:rPr>
        <w:t>"</w:t>
      </w:r>
      <w:r w:rsidRPr="00700FB5">
        <w:rPr>
          <w:sz w:val="24"/>
          <w:szCs w:val="24"/>
          <w:rtl/>
        </w:rPr>
        <w:t>כך מסכם השופט ברק את שאלת הפגיעה בחופש הביטוי מול פגיעה ברגשותיו של הציבור</w:t>
      </w:r>
      <w:r w:rsidRPr="00700FB5">
        <w:rPr>
          <w:sz w:val="24"/>
          <w:szCs w:val="24"/>
        </w:rPr>
        <w:t>: "</w:t>
      </w:r>
      <w:r w:rsidRPr="00700FB5">
        <w:rPr>
          <w:sz w:val="24"/>
          <w:szCs w:val="24"/>
          <w:rtl/>
        </w:rPr>
        <w:t>הפגיעה הקשה, הרצינית והחמורה [בחופש הביטוי] כוללת גם פגיעה ברגשותיו של הציבור</w:t>
      </w:r>
      <w:r w:rsidRPr="00700FB5">
        <w:rPr>
          <w:sz w:val="24"/>
          <w:szCs w:val="24"/>
        </w:rPr>
        <w:t xml:space="preserve">. </w:t>
      </w:r>
      <w:r w:rsidRPr="00700FB5">
        <w:rPr>
          <w:sz w:val="24"/>
          <w:szCs w:val="24"/>
          <w:rtl/>
        </w:rPr>
        <w:t>אמת, חברה המבוססת על פלורליזם חברתי, חייבת לאפשר החלפת דעות, גם אם יש בכך כדי לפגוע ברגשות של המתנגדים לאותן דעות. אכן, מעצם מהותו של המשטר כמשטר דמוקרטי מתבקשת הכרה ברמה מסוימת של חשיפה לפגיעה ברגשות בני הציבור. פגיעה 'קשה, רצינית וחמורה' המצדיקה הגבלה של חופש הביטוי, היא אותה פגיעה העולה על 'רמת הסיבולת</w:t>
      </w:r>
      <w:r w:rsidRPr="00700FB5">
        <w:rPr>
          <w:sz w:val="24"/>
          <w:szCs w:val="24"/>
        </w:rPr>
        <w:t xml:space="preserve">' </w:t>
      </w:r>
      <w:r w:rsidRPr="00700FB5">
        <w:rPr>
          <w:sz w:val="24"/>
          <w:szCs w:val="24"/>
          <w:rtl/>
        </w:rPr>
        <w:t>בחברה דמוקרטית. אכן, עצם הבעתה של דעה בסוגיה השנויה במחלוקת ציבורית (היסטורית</w:t>
      </w:r>
      <w:r w:rsidRPr="00700FB5">
        <w:rPr>
          <w:sz w:val="24"/>
          <w:szCs w:val="24"/>
        </w:rPr>
        <w:t xml:space="preserve">, </w:t>
      </w:r>
      <w:r w:rsidRPr="00700FB5">
        <w:rPr>
          <w:sz w:val="24"/>
          <w:szCs w:val="24"/>
          <w:rtl/>
        </w:rPr>
        <w:t xml:space="preserve">דתית, חברתית או אחרת) מותרת היא. יהיו אלה, אפוא, מקרים חריגים ונדירים, בהם תוכנו של הביטוי יהא בו כדי להוות פגיעה 'קשה, רצינית וחמורה', ברגשותיו של הציבור. יהיו אלה </w:t>
      </w:r>
      <w:r w:rsidRPr="00700FB5">
        <w:rPr>
          <w:sz w:val="24"/>
          <w:szCs w:val="24"/>
        </w:rPr>
        <w:t xml:space="preserve">. </w:t>
      </w:r>
      <w:r w:rsidRPr="00700FB5">
        <w:rPr>
          <w:sz w:val="24"/>
          <w:szCs w:val="24"/>
          <w:rtl/>
        </w:rPr>
        <w:t>מקרים המזעזעים את אמות הספים של הסובלנות ההדדית</w:t>
      </w:r>
      <w:r w:rsidRPr="00700FB5">
        <w:rPr>
          <w:sz w:val="24"/>
          <w:szCs w:val="24"/>
        </w:rPr>
        <w:t>"</w:t>
      </w:r>
    </w:p>
    <w:p w:rsidR="00646986" w:rsidRPr="00700FB5" w:rsidRDefault="00646986" w:rsidP="00700FB5">
      <w:pPr>
        <w:spacing w:after="0" w:line="360" w:lineRule="auto"/>
        <w:contextualSpacing/>
        <w:rPr>
          <w:sz w:val="24"/>
          <w:szCs w:val="24"/>
          <w:rtl/>
        </w:rPr>
      </w:pPr>
      <w:r w:rsidRPr="00700FB5">
        <w:rPr>
          <w:rFonts w:hint="cs"/>
          <w:sz w:val="24"/>
          <w:szCs w:val="24"/>
          <w:rtl/>
        </w:rPr>
        <w:t xml:space="preserve">מעובד מתוך: </w:t>
      </w:r>
      <w:r w:rsidRPr="00700FB5">
        <w:rPr>
          <w:sz w:val="24"/>
          <w:szCs w:val="24"/>
          <w:rtl/>
        </w:rPr>
        <w:t xml:space="preserve">אהרן ברק, </w:t>
      </w:r>
      <w:r w:rsidRPr="00700FB5">
        <w:rPr>
          <w:b/>
          <w:bCs/>
          <w:sz w:val="24"/>
          <w:szCs w:val="24"/>
          <w:rtl/>
        </w:rPr>
        <w:t>חופש הביטוי ומ</w:t>
      </w:r>
      <w:r w:rsidRPr="00700FB5">
        <w:rPr>
          <w:b/>
          <w:bCs/>
          <w:sz w:val="24"/>
          <w:szCs w:val="24"/>
          <w:rtl/>
        </w:rPr>
        <w:t>גבלותיו,</w:t>
      </w:r>
      <w:r w:rsidRPr="00700FB5">
        <w:rPr>
          <w:sz w:val="24"/>
          <w:szCs w:val="24"/>
          <w:rtl/>
        </w:rPr>
        <w:t xml:space="preserve"> הפרקליט מ, חוברת א, 5 עמ' 18</w:t>
      </w:r>
      <w:r w:rsidRPr="00700FB5">
        <w:rPr>
          <w:sz w:val="24"/>
          <w:szCs w:val="24"/>
        </w:rPr>
        <w:t xml:space="preserve"> .</w:t>
      </w:r>
    </w:p>
    <w:p w:rsidR="00646986" w:rsidRPr="00700FB5" w:rsidRDefault="00646986" w:rsidP="00700FB5">
      <w:pPr>
        <w:spacing w:after="0" w:line="360" w:lineRule="auto"/>
        <w:contextualSpacing/>
        <w:rPr>
          <w:sz w:val="24"/>
          <w:szCs w:val="24"/>
          <w:rtl/>
        </w:rPr>
      </w:pPr>
    </w:p>
    <w:p w:rsidR="00646986" w:rsidRPr="00700FB5" w:rsidRDefault="00646986" w:rsidP="00700FB5">
      <w:pPr>
        <w:spacing w:after="0" w:line="360" w:lineRule="auto"/>
        <w:contextualSpacing/>
        <w:rPr>
          <w:sz w:val="24"/>
          <w:szCs w:val="24"/>
          <w:rtl/>
        </w:rPr>
      </w:pPr>
      <w:r w:rsidRPr="00700FB5">
        <w:rPr>
          <w:rFonts w:hint="cs"/>
          <w:sz w:val="24"/>
          <w:szCs w:val="24"/>
          <w:rtl/>
        </w:rPr>
        <w:t>"</w:t>
      </w:r>
      <w:r w:rsidRPr="00700FB5">
        <w:rPr>
          <w:sz w:val="24"/>
          <w:szCs w:val="24"/>
          <w:rtl/>
        </w:rPr>
        <w:t>על שאלת האיזון בין חופש-הביטוי וההפגנה לבין ההגנה על רגשות-דתיים כתבה הנשיאה בייניש</w:t>
      </w:r>
      <w:r w:rsidRPr="00700FB5">
        <w:rPr>
          <w:rFonts w:hint="cs"/>
          <w:sz w:val="24"/>
          <w:szCs w:val="24"/>
          <w:rtl/>
        </w:rPr>
        <w:t xml:space="preserve">, שגם </w:t>
      </w:r>
      <w:r w:rsidRPr="00700FB5">
        <w:rPr>
          <w:sz w:val="24"/>
          <w:szCs w:val="24"/>
          <w:rtl/>
        </w:rPr>
        <w:t xml:space="preserve">אם מקובל על ביהמ"ש שמנקודת השקפתם של חוגים חרדים ודתיים עלול קיום המצעד לפגוע פגיעה כנה </w:t>
      </w:r>
      <w:proofErr w:type="spellStart"/>
      <w:r w:rsidRPr="00700FB5">
        <w:rPr>
          <w:sz w:val="24"/>
          <w:szCs w:val="24"/>
          <w:rtl/>
        </w:rPr>
        <w:t>ואמיתית</w:t>
      </w:r>
      <w:proofErr w:type="spellEnd"/>
      <w:r w:rsidRPr="00700FB5">
        <w:rPr>
          <w:sz w:val="24"/>
          <w:szCs w:val="24"/>
          <w:rtl/>
        </w:rPr>
        <w:t xml:space="preserve"> ברגשותיהם הדתיים, אין בכך טעם מספיק לשלילת הזכות להפגין. לדעתה עצם קיומה של פגיעה ברגשות אינה מצדיקה פגיעה בחופש-הביטוי וההפגנה בדמוקרטיה המבוססת על פלורליזם חברתי, וזאת על-מנת שחופש-הביטוי לא יאבד את תוכנו. השופטת מזכירה שחופש-הביטוי אינו רק החופש לבטא דברים נעימים-לאוזן המצויים בלב הקונצנזוס החברתי. ההגנה על חופש-הביטוי וההפגנה נועדה, בין היתר, </w:t>
      </w:r>
      <w:proofErr w:type="spellStart"/>
      <w:r w:rsidRPr="00700FB5">
        <w:rPr>
          <w:sz w:val="24"/>
          <w:szCs w:val="24"/>
          <w:rtl/>
        </w:rPr>
        <w:t>ליתן</w:t>
      </w:r>
      <w:proofErr w:type="spellEnd"/>
      <w:r w:rsidRPr="00700FB5">
        <w:rPr>
          <w:sz w:val="24"/>
          <w:szCs w:val="24"/>
          <w:rtl/>
        </w:rPr>
        <w:t xml:space="preserve"> במה לדעות המעוררות מחלוקת וכן לאפשר הזדמנות ביטוי לקבוצות מיעוט המבקשות להעלות את עניינן לסדר היום הציבורי אף כאשר הרוב מתנגד לדעותיהן. ההגנה על חופש-הביטוי מגנה בראש ובראשונה על המיעוט מפני הרוב</w:t>
      </w:r>
      <w:r w:rsidRPr="00700FB5">
        <w:rPr>
          <w:rFonts w:hint="cs"/>
          <w:sz w:val="24"/>
          <w:szCs w:val="24"/>
          <w:rtl/>
        </w:rPr>
        <w:t>"</w:t>
      </w:r>
      <w:r w:rsidRPr="00700FB5">
        <w:rPr>
          <w:sz w:val="24"/>
          <w:szCs w:val="24"/>
        </w:rPr>
        <w:t xml:space="preserve">. </w:t>
      </w:r>
    </w:p>
    <w:p w:rsidR="00646986" w:rsidRPr="00700FB5" w:rsidRDefault="00646986" w:rsidP="00700FB5">
      <w:pPr>
        <w:spacing w:after="0" w:line="360" w:lineRule="auto"/>
        <w:contextualSpacing/>
        <w:rPr>
          <w:sz w:val="24"/>
          <w:szCs w:val="24"/>
          <w:rtl/>
        </w:rPr>
      </w:pPr>
      <w:r w:rsidRPr="00700FB5">
        <w:rPr>
          <w:rFonts w:hint="cs"/>
          <w:sz w:val="24"/>
          <w:szCs w:val="24"/>
          <w:rtl/>
        </w:rPr>
        <w:t xml:space="preserve">מעובד מתוך: </w:t>
      </w:r>
      <w:r w:rsidRPr="00700FB5">
        <w:rPr>
          <w:sz w:val="24"/>
          <w:szCs w:val="24"/>
          <w:rtl/>
        </w:rPr>
        <w:t xml:space="preserve">בג"ץ 06/9089 </w:t>
      </w:r>
      <w:r w:rsidRPr="00700FB5">
        <w:rPr>
          <w:b/>
          <w:bCs/>
          <w:sz w:val="24"/>
          <w:szCs w:val="24"/>
          <w:rtl/>
        </w:rPr>
        <w:t xml:space="preserve">ברוך </w:t>
      </w:r>
      <w:proofErr w:type="spellStart"/>
      <w:r w:rsidRPr="00700FB5">
        <w:rPr>
          <w:b/>
          <w:bCs/>
          <w:sz w:val="24"/>
          <w:szCs w:val="24"/>
          <w:rtl/>
        </w:rPr>
        <w:t>מרזל</w:t>
      </w:r>
      <w:proofErr w:type="spellEnd"/>
      <w:r w:rsidRPr="00700FB5">
        <w:rPr>
          <w:b/>
          <w:bCs/>
          <w:sz w:val="24"/>
          <w:szCs w:val="24"/>
          <w:rtl/>
        </w:rPr>
        <w:t xml:space="preserve"> ואיתמר בן-גביר נ' מפקד משטרת מחוז ירושלים,</w:t>
      </w:r>
      <w:r w:rsidRPr="00700FB5">
        <w:rPr>
          <w:sz w:val="24"/>
          <w:szCs w:val="24"/>
          <w:rtl/>
        </w:rPr>
        <w:t xml:space="preserve"> (טרם פורסם)</w:t>
      </w:r>
      <w:r w:rsidRPr="00700FB5">
        <w:rPr>
          <w:sz w:val="24"/>
          <w:szCs w:val="24"/>
        </w:rPr>
        <w:t xml:space="preserve"> (2007) ,</w:t>
      </w:r>
    </w:p>
    <w:p w:rsidR="00700FB5" w:rsidRPr="00700FB5" w:rsidRDefault="00700FB5" w:rsidP="00700FB5">
      <w:pPr>
        <w:spacing w:after="0" w:line="360" w:lineRule="auto"/>
        <w:contextualSpacing/>
        <w:rPr>
          <w:sz w:val="24"/>
          <w:szCs w:val="24"/>
          <w:rtl/>
        </w:rPr>
      </w:pPr>
    </w:p>
    <w:p w:rsidR="00700FB5" w:rsidRPr="00700FB5" w:rsidRDefault="00700FB5" w:rsidP="00700FB5">
      <w:pPr>
        <w:spacing w:after="0" w:line="360" w:lineRule="auto"/>
        <w:contextualSpacing/>
        <w:rPr>
          <w:sz w:val="24"/>
          <w:szCs w:val="24"/>
          <w:rtl/>
        </w:rPr>
      </w:pPr>
      <w:r w:rsidRPr="00700FB5">
        <w:rPr>
          <w:sz w:val="24"/>
          <w:szCs w:val="24"/>
          <w:rtl/>
        </w:rPr>
        <w:t>בשנת 2007 פסק ביהמ"ש בהקשר זה, שעל המשטרה לאזן, בבואה להחליט בבקשה לקיים הפגנה, בין 132 חופש-הביטוי של המבקשים להפגין לבין הפגיעה ברגשותיהם של המתנגדים לקיומה של ההפגנה</w:t>
      </w:r>
      <w:r w:rsidRPr="00700FB5">
        <w:rPr>
          <w:sz w:val="24"/>
          <w:szCs w:val="24"/>
        </w:rPr>
        <w:t xml:space="preserve">. </w:t>
      </w:r>
      <w:r w:rsidRPr="00700FB5">
        <w:rPr>
          <w:sz w:val="24"/>
          <w:szCs w:val="24"/>
          <w:rtl/>
        </w:rPr>
        <w:t xml:space="preserve">מן הפסיקות עולה שביהמ"ש מנסה לאזן, באופן ראוי ומידתי, לדעתו, בין הזכויות והאינטרסים </w:t>
      </w:r>
      <w:r>
        <w:rPr>
          <w:sz w:val="24"/>
          <w:szCs w:val="24"/>
          <w:rtl/>
        </w:rPr>
        <w:t>המתנ</w:t>
      </w:r>
      <w:r>
        <w:rPr>
          <w:rFonts w:hint="cs"/>
          <w:sz w:val="24"/>
          <w:szCs w:val="24"/>
          <w:rtl/>
        </w:rPr>
        <w:t>גשים.</w:t>
      </w:r>
      <w:r w:rsidRPr="00700FB5">
        <w:rPr>
          <w:sz w:val="24"/>
          <w:szCs w:val="24"/>
        </w:rPr>
        <w:t xml:space="preserve"> </w:t>
      </w:r>
      <w:r w:rsidRPr="00700FB5">
        <w:rPr>
          <w:sz w:val="24"/>
          <w:szCs w:val="24"/>
          <w:rtl/>
        </w:rPr>
        <w:t xml:space="preserve">בג"צ דחה את העתירות שהוגשו כנגד החלטתו של מפקד מחוז ירושלים לאשר את קיומו של מצעד הגאווה בירושלים בטענה שקיומו יפגע בביטחון הציבור וברגשות הדת שלו. בג"צ דן בהרחבה בהתנגשות שבין עיקרון חופש הביטוי והזכות להתכנס ולהפגין, לבין שמירה על האינטרס של בטחון הציבור, ופגיעה ברגשות הציבור ובעיקר רגשות הציבור הדתי. העתירה נדחתה שכן הזכות לביטוי עצמי של </w:t>
      </w:r>
      <w:r w:rsidRPr="00700FB5">
        <w:rPr>
          <w:sz w:val="24"/>
          <w:szCs w:val="24"/>
          <w:rtl/>
        </w:rPr>
        <w:lastRenderedPageBreak/>
        <w:t>הקהילה ההומולסבית גוברת על אינטרס הרגשות הדתיים, בהתחשב ברמת הסיבולת הנדרשת בחברה דמוקרטית, ועל הסכנה הנטענת לביטחון הציבור</w:t>
      </w:r>
      <w:r w:rsidRPr="00700FB5">
        <w:rPr>
          <w:sz w:val="24"/>
          <w:szCs w:val="24"/>
        </w:rPr>
        <w:t xml:space="preserve">. </w:t>
      </w:r>
      <w:r w:rsidRPr="00700FB5">
        <w:rPr>
          <w:sz w:val="24"/>
          <w:szCs w:val="24"/>
          <w:rtl/>
        </w:rPr>
        <w:t>לטענת בג" ץ נעשה ניסיון לאזן באופן ראוי ומידתי בין הזכויות והאינטרסים המתנגשים</w:t>
      </w:r>
      <w:r>
        <w:rPr>
          <w:rFonts w:hint="cs"/>
          <w:sz w:val="24"/>
          <w:szCs w:val="24"/>
          <w:rtl/>
        </w:rPr>
        <w:t xml:space="preserve">. </w:t>
      </w:r>
      <w:r w:rsidRPr="00700FB5">
        <w:rPr>
          <w:sz w:val="24"/>
          <w:szCs w:val="24"/>
        </w:rPr>
        <w:t xml:space="preserve"> </w:t>
      </w:r>
      <w:r w:rsidRPr="00700FB5">
        <w:rPr>
          <w:sz w:val="24"/>
          <w:szCs w:val="24"/>
          <w:rtl/>
        </w:rPr>
        <w:t>ואולם שפע הפסיקות במקרה הבוחן מלמד, שבאופן עקבי, דחה בית המשפט את הטיעון של פגיעה ברגשות דתיים והעדיף על פניו את האינטרסים של הקהילה ההומו לסבית ואת זכות ההפגנה שלהם</w:t>
      </w:r>
      <w:r w:rsidRPr="00700FB5">
        <w:rPr>
          <w:sz w:val="24"/>
          <w:szCs w:val="24"/>
        </w:rPr>
        <w:t xml:space="preserve">. </w:t>
      </w:r>
      <w:r w:rsidRPr="00700FB5">
        <w:rPr>
          <w:sz w:val="24"/>
          <w:szCs w:val="24"/>
          <w:rtl/>
        </w:rPr>
        <w:t xml:space="preserve">למרות שבית המשפט משתמש בשפת </w:t>
      </w:r>
      <w:proofErr w:type="spellStart"/>
      <w:r w:rsidRPr="00700FB5">
        <w:rPr>
          <w:sz w:val="24"/>
          <w:szCs w:val="24"/>
          <w:rtl/>
        </w:rPr>
        <w:t>האיזונים</w:t>
      </w:r>
      <w:proofErr w:type="spellEnd"/>
      <w:r w:rsidRPr="00700FB5">
        <w:rPr>
          <w:sz w:val="24"/>
          <w:szCs w:val="24"/>
          <w:rtl/>
        </w:rPr>
        <w:t>, שמשמעה התחשבות בטיעוני שני הצדדים, הענקת כוח השפעה שווה או חשיבות שווה לשני הצדדים, אין מדובר כאן באיזון אלא בהכרעה ברורה לכיוון העדפת חופש הביטוי על פני ערכים אחרים</w:t>
      </w:r>
    </w:p>
    <w:p w:rsidR="00700FB5" w:rsidRPr="00700FB5" w:rsidRDefault="00700FB5" w:rsidP="00700FB5">
      <w:pPr>
        <w:spacing w:after="0" w:line="360" w:lineRule="auto"/>
        <w:contextualSpacing/>
        <w:rPr>
          <w:sz w:val="24"/>
          <w:szCs w:val="24"/>
          <w:rtl/>
        </w:rPr>
      </w:pPr>
      <w:r w:rsidRPr="00700FB5">
        <w:rPr>
          <w:rFonts w:hint="cs"/>
          <w:sz w:val="24"/>
          <w:szCs w:val="24"/>
          <w:rtl/>
        </w:rPr>
        <w:t xml:space="preserve">מעובד מתוך: </w:t>
      </w:r>
      <w:r w:rsidRPr="00700FB5">
        <w:rPr>
          <w:sz w:val="24"/>
          <w:szCs w:val="24"/>
          <w:rtl/>
        </w:rPr>
        <w:t xml:space="preserve">בג"ץ 06/9089 </w:t>
      </w:r>
      <w:r w:rsidRPr="00700FB5">
        <w:rPr>
          <w:b/>
          <w:bCs/>
          <w:sz w:val="24"/>
          <w:szCs w:val="24"/>
          <w:rtl/>
        </w:rPr>
        <w:t xml:space="preserve">ברוך </w:t>
      </w:r>
      <w:proofErr w:type="spellStart"/>
      <w:r w:rsidRPr="00700FB5">
        <w:rPr>
          <w:b/>
          <w:bCs/>
          <w:sz w:val="24"/>
          <w:szCs w:val="24"/>
          <w:rtl/>
        </w:rPr>
        <w:t>מרזל</w:t>
      </w:r>
      <w:proofErr w:type="spellEnd"/>
      <w:r w:rsidRPr="00700FB5">
        <w:rPr>
          <w:b/>
          <w:bCs/>
          <w:sz w:val="24"/>
          <w:szCs w:val="24"/>
          <w:rtl/>
        </w:rPr>
        <w:t xml:space="preserve"> ואיתמר בן-גביר נ' מפקד משטרת מחוז ירושלים,</w:t>
      </w:r>
      <w:r w:rsidRPr="00700FB5">
        <w:rPr>
          <w:sz w:val="24"/>
          <w:szCs w:val="24"/>
          <w:rtl/>
        </w:rPr>
        <w:t xml:space="preserve"> (טרם פורסם)</w:t>
      </w:r>
      <w:r w:rsidRPr="00700FB5">
        <w:rPr>
          <w:sz w:val="24"/>
          <w:szCs w:val="24"/>
        </w:rPr>
        <w:t xml:space="preserve"> (2007) ,</w:t>
      </w:r>
    </w:p>
    <w:p w:rsidR="00700FB5" w:rsidRPr="00700FB5" w:rsidRDefault="00700FB5" w:rsidP="00700FB5">
      <w:pPr>
        <w:spacing w:after="0" w:line="360" w:lineRule="auto"/>
        <w:contextualSpacing/>
        <w:rPr>
          <w:rFonts w:hint="cs"/>
          <w:sz w:val="24"/>
          <w:szCs w:val="24"/>
          <w:rtl/>
        </w:rPr>
      </w:pPr>
      <w:bookmarkStart w:id="0" w:name="_GoBack"/>
      <w:bookmarkEnd w:id="0"/>
    </w:p>
    <w:sectPr w:rsidR="00700FB5" w:rsidRPr="00700FB5" w:rsidSect="00DC2768">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BAD"/>
    <w:rsid w:val="00646986"/>
    <w:rsid w:val="006A5BAD"/>
    <w:rsid w:val="00700FB5"/>
    <w:rsid w:val="00A52636"/>
    <w:rsid w:val="00DC276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D2D1A4-BF6D-40AC-A3E7-8658EA27C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493</Words>
  <Characters>2467</Characters>
  <Application>Microsoft Office Word</Application>
  <DocSecurity>0</DocSecurity>
  <Lines>20</Lines>
  <Paragraphs>5</Paragraphs>
  <ScaleCrop>false</ScaleCrop>
  <Company/>
  <LinksUpToDate>false</LinksUpToDate>
  <CharactersWithSpaces>2955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מיכל בוטנרו</dc:creator>
  <cp:keywords/>
  <dc:description/>
  <cp:lastModifiedBy>מיכל בוטנרו</cp:lastModifiedBy>
  <cp:revision>3</cp:revision>
  <dcterms:created xsi:type="dcterms:W3CDTF">2016-08-02T12:41:00Z</dcterms:created>
  <dcterms:modified xsi:type="dcterms:W3CDTF">2016-08-02T12:48:00Z</dcterms:modified>
</cp:coreProperties>
</file>